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  <w:highlight w:val="yellow"/>
        </w:rPr>
        <w:t>_____________/</w:t>
      </w:r>
    </w:p>
    <w:p w14:paraId="00000002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03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МИНИСТАРСТВО ФИНАНСИЈА</w:t>
      </w:r>
    </w:p>
    <w:p w14:paraId="00000004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ПОРЕСКА УПРАВА-ФИЛИЈАЛА ЦЕНТАР</w:t>
      </w:r>
    </w:p>
    <w:p w14:paraId="00000005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</w:t>
      </w:r>
    </w:p>
    <w:p w14:paraId="00000006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МИНИСТАРСТВО ФИНАНСИЈА</w:t>
      </w:r>
    </w:p>
    <w:p w14:paraId="00000007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СЕКТОР ЗА ДРУГОСТЕПЕНИ ПОРЕСКИ И ЦАРИНСКИ ПОСТУПАК</w:t>
      </w:r>
    </w:p>
    <w:p w14:paraId="00000008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09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  <w:u w:val="single"/>
        </w:rPr>
      </w:pPr>
    </w:p>
    <w:p w14:paraId="0000000A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Б е о г р а д</w:t>
      </w:r>
    </w:p>
    <w:p w14:paraId="0000000B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0C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0D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Предмет: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Порески обвезник </w:t>
      </w:r>
      <w:r>
        <w:rPr>
          <w:b/>
          <w:color w:val="000000"/>
          <w:sz w:val="24"/>
          <w:szCs w:val="24"/>
          <w:highlight w:val="yellow"/>
        </w:rPr>
        <w:t>_____________</w:t>
      </w:r>
      <w:r>
        <w:rPr>
          <w:color w:val="000000"/>
          <w:sz w:val="24"/>
          <w:szCs w:val="24"/>
          <w:highlight w:val="yellow"/>
        </w:rPr>
        <w:t xml:space="preserve"> из ____________, ___________  број ___, јмбг </w:t>
      </w:r>
      <w:r>
        <w:rPr>
          <w:color w:val="000000"/>
          <w:sz w:val="24"/>
          <w:szCs w:val="24"/>
        </w:rPr>
        <w:t>________________.</w:t>
      </w:r>
    </w:p>
    <w:p w14:paraId="0000000E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0F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10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На основу члана 140. став 1. и члана 141. Закона о пореском поступку и пореској администрацији, порески обвезник непосредно изјављује следећу:</w:t>
      </w:r>
    </w:p>
    <w:p w14:paraId="00000011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2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3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8"/>
          <w:szCs w:val="28"/>
          <w:u w:val="single"/>
        </w:rPr>
        <w:t>Ж  А  Л  Б  У</w:t>
      </w:r>
    </w:p>
    <w:p w14:paraId="00000014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  <w:t xml:space="preserve">Против Привременог решења Министарства финансија-Пореске </w:t>
      </w:r>
    </w:p>
    <w:p w14:paraId="00000015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i/>
          <w:color w:val="000000"/>
          <w:sz w:val="24"/>
          <w:szCs w:val="24"/>
          <w:highlight w:val="yellow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 xml:space="preserve">управе-Филијале Центар број </w:t>
      </w:r>
      <w:r>
        <w:rPr>
          <w:b/>
          <w:i/>
          <w:color w:val="000000"/>
          <w:sz w:val="24"/>
          <w:szCs w:val="24"/>
          <w:highlight w:val="yellow"/>
        </w:rPr>
        <w:t>__-__-__-____/2022-____</w:t>
      </w:r>
    </w:p>
    <w:p w14:paraId="00000016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yellow"/>
        </w:rPr>
        <w:tab/>
        <w:t>од __.__.2022. године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0000017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8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9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због:</w:t>
      </w:r>
    </w:p>
    <w:p w14:paraId="0000001A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битне повреде правила поступка</w:t>
      </w:r>
    </w:p>
    <w:p w14:paraId="0000001B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погрешно и непотпуно утврђеног чињеничног стања</w:t>
      </w:r>
    </w:p>
    <w:p w14:paraId="0000001C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погрешне примене материјалног права</w:t>
      </w:r>
    </w:p>
    <w:p w14:paraId="0000001D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E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те побијајући ожалбено решење у целини, предл</w:t>
      </w:r>
      <w:r>
        <w:rPr>
          <w:color w:val="000000"/>
          <w:sz w:val="24"/>
          <w:szCs w:val="24"/>
        </w:rPr>
        <w:t>ажемо да првостепени порески орган исто измени сходно члану 144. став 3. Закона о пореском поступку и пореској администрацији, а уколико то не учини, жалилац предлаже да другостепени орган исто поништи и предмет врати првостепеном органу на поновни поступа</w:t>
      </w:r>
      <w:r>
        <w:rPr>
          <w:color w:val="000000"/>
          <w:sz w:val="24"/>
          <w:szCs w:val="24"/>
        </w:rPr>
        <w:t>к или да првостепено решење сам измени сходно члану 150. став 3. тачка 3. Закона о пореском поступку и пореској администрацији.</w:t>
      </w:r>
    </w:p>
    <w:p w14:paraId="0000001F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20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sz w:val="24"/>
          <w:szCs w:val="24"/>
        </w:rPr>
      </w:pPr>
    </w:p>
    <w:p w14:paraId="00000021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 б р а з л о ж е ње</w:t>
      </w:r>
    </w:p>
    <w:p w14:paraId="00000022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3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4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Првим ставом побијаног Привременог решења пореском обвезнику утврђен је порез на приходе по основу уговорене накнаде од ауторских и сродних права и уговорене накнаде за извршени рад и доприносе за обавезно социјално осигурање остварени у 2017. години, те ј</w:t>
      </w:r>
      <w:r>
        <w:rPr>
          <w:color w:val="000000"/>
          <w:sz w:val="24"/>
          <w:szCs w:val="24"/>
        </w:rPr>
        <w:t xml:space="preserve">е обавезан исти да порез на приходе и допринос за ПИО утврђен у износу од </w:t>
      </w:r>
      <w:r>
        <w:rPr>
          <w:color w:val="000000"/>
          <w:sz w:val="24"/>
          <w:szCs w:val="24"/>
          <w:highlight w:val="yellow"/>
        </w:rPr>
        <w:t>___________ динара</w:t>
      </w:r>
      <w:r>
        <w:rPr>
          <w:color w:val="000000"/>
          <w:sz w:val="24"/>
          <w:szCs w:val="24"/>
        </w:rPr>
        <w:t xml:space="preserve"> плати у 120 једнаких месечних рата свака од по </w:t>
      </w:r>
      <w:r>
        <w:rPr>
          <w:color w:val="000000"/>
          <w:sz w:val="24"/>
          <w:szCs w:val="24"/>
          <w:highlight w:val="yellow"/>
        </w:rPr>
        <w:t>____________ динар</w:t>
      </w:r>
      <w:r>
        <w:rPr>
          <w:color w:val="000000"/>
          <w:sz w:val="24"/>
          <w:szCs w:val="24"/>
        </w:rPr>
        <w:t>.</w:t>
      </w:r>
    </w:p>
    <w:p w14:paraId="00000025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Каснијим ставовима побијаног Привременог решења упозорен је порески обвезник да у случају доцње</w:t>
      </w:r>
      <w:r>
        <w:rPr>
          <w:color w:val="000000"/>
          <w:sz w:val="24"/>
          <w:szCs w:val="24"/>
        </w:rPr>
        <w:t xml:space="preserve"> плаћа законску камату, да у случају неизмирења обавезе да ће се наплата извршити принудним путем, да трошкови принудне наплате падају на терет пореског обвезника као и да жалба не одлаже извршење.</w:t>
      </w:r>
    </w:p>
    <w:p w14:paraId="00000026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Образложење побијаног решења је потпуно изостављено, одно</w:t>
      </w:r>
      <w:r>
        <w:rPr>
          <w:color w:val="000000"/>
          <w:sz w:val="24"/>
          <w:szCs w:val="24"/>
        </w:rPr>
        <w:t>сно у делу решења које само носи назив „Образложење“, првостепени орган наводи да је порески обвезник остварио приход по основу уговорене накнаде од ауторских и сродних права и уговорене накнаде за извршени рад у 2017. години у износу од _____________ дина</w:t>
      </w:r>
      <w:r>
        <w:rPr>
          <w:color w:val="000000"/>
          <w:sz w:val="24"/>
          <w:szCs w:val="24"/>
        </w:rPr>
        <w:t>ра од таксативно наведених лица, те цитира чланове Закона о изменама и допунама Закона о порезу на доходак грађана и Закона о пореском поступку и пореској администрацији.</w:t>
      </w:r>
    </w:p>
    <w:p w14:paraId="00000027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28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Првостепени орган је погрешно и непотпуно утврдио чињенично стање, те погрешно п</w:t>
      </w:r>
      <w:r>
        <w:rPr>
          <w:color w:val="000000"/>
          <w:sz w:val="24"/>
          <w:szCs w:val="24"/>
        </w:rPr>
        <w:t>рименио материјално право и битно повредио правила поступка због чега је побијано решење потпуно незаконито.</w:t>
      </w:r>
    </w:p>
    <w:p w14:paraId="00000029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2A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Најпре, изостало је било какво образложење, што је противно члану 24. став 1. тачка 11. Закона о пореском поступку и пореској администрацији и </w:t>
      </w:r>
      <w:r>
        <w:rPr>
          <w:color w:val="000000"/>
          <w:sz w:val="24"/>
          <w:szCs w:val="24"/>
        </w:rPr>
        <w:t>члана 141. став 4. Закона о општем управном поступку.</w:t>
      </w:r>
    </w:p>
    <w:p w14:paraId="0000002B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Одредбама из горе наведених чланова прописано је да порески обвезник има право да добије образложење пореских аката, те да образложење мора да буде разумљиво и да садржи кратко излагање захтева странке</w:t>
      </w:r>
      <w:r>
        <w:rPr>
          <w:color w:val="000000"/>
          <w:sz w:val="24"/>
          <w:szCs w:val="24"/>
        </w:rPr>
        <w:t>, чињенично стање и доказе на основу којих је оно утврђено, разлоге који су били одлучујући код оцене сваког доказа, прописе и разлоге који, с обзиром на утврђено чињенично стање, упућују на одлуку из диспозитива и разлоге зашто није уважен неки захтев или</w:t>
      </w:r>
      <w:r>
        <w:rPr>
          <w:color w:val="000000"/>
          <w:sz w:val="24"/>
          <w:szCs w:val="24"/>
        </w:rPr>
        <w:t xml:space="preserve"> предлог. Образложење садржи и разлоге због којих је орган одступио од решења која је раније доносио у истим или сличним управним стварима. Ако је одлучено по слободној оцени, образложење садржи и пропис који орган овлашћује на то, разлоге којима се руково</w:t>
      </w:r>
      <w:r>
        <w:rPr>
          <w:color w:val="000000"/>
          <w:sz w:val="24"/>
          <w:szCs w:val="24"/>
        </w:rPr>
        <w:t>дио при одлучивању и у којим границама и с којим циљем је применио овлашћење да одлучује по слободној оцени. Ако жалба не одлаже извршење решења, образложење садржи и позивање на закон који то предвиђа.</w:t>
      </w:r>
    </w:p>
    <w:p w14:paraId="0000002C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Даље, првостепени орган у изреци утврђује да је поре</w:t>
      </w:r>
      <w:r>
        <w:rPr>
          <w:color w:val="000000"/>
          <w:sz w:val="24"/>
          <w:szCs w:val="24"/>
        </w:rPr>
        <w:t xml:space="preserve">ски обвезник остварио приходе од уговорене накнаде од ауторских и сродних права и уговорене накнаде за извршени рад, а о томе не наводи никакав доказ. Нити образлаже како је дошао до таквог закључка, нити о ком уговору се ради, нити кад и где је закључен, </w:t>
      </w:r>
      <w:r>
        <w:rPr>
          <w:color w:val="000000"/>
          <w:sz w:val="24"/>
          <w:szCs w:val="24"/>
        </w:rPr>
        <w:t>нити између кога, нити у којој форми да ли усмено или писмено. Посебно се не наводи како је дошао до закључка да ли се ради о ауторској накнади или уговореној накнади за извршени рад (или чак оба) будући да се оба извора прихода наводе подједнако. Опет неј</w:t>
      </w:r>
      <w:r>
        <w:rPr>
          <w:color w:val="000000"/>
          <w:sz w:val="24"/>
          <w:szCs w:val="24"/>
        </w:rPr>
        <w:t xml:space="preserve">асно је како првостепени орган није утврдио или бар узео у обзир да су приходи могли да буду из привремених или повремених послова, или да се ради о осталим приходима и слично. </w:t>
      </w:r>
    </w:p>
    <w:p w14:paraId="0000002D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Такође, поред свих нетачно и непотпуно утврђених чињеница истичем да сам на с</w:t>
      </w:r>
      <w:r>
        <w:rPr>
          <w:color w:val="000000"/>
          <w:sz w:val="24"/>
          <w:szCs w:val="24"/>
        </w:rPr>
        <w:t xml:space="preserve">ваки „приход“ који је наведен у побијаном Привременом решењу имао стварне трошкове у износу од </w:t>
      </w:r>
      <w:r>
        <w:rPr>
          <w:color w:val="000000"/>
          <w:sz w:val="24"/>
          <w:szCs w:val="24"/>
          <w:highlight w:val="yellow"/>
        </w:rPr>
        <w:t>__________________ динара</w:t>
      </w:r>
      <w:r>
        <w:rPr>
          <w:color w:val="000000"/>
          <w:sz w:val="24"/>
          <w:szCs w:val="24"/>
        </w:rPr>
        <w:t xml:space="preserve">, односно укупно </w:t>
      </w:r>
      <w:r>
        <w:rPr>
          <w:color w:val="000000"/>
          <w:sz w:val="24"/>
          <w:szCs w:val="24"/>
          <w:highlight w:val="yellow"/>
        </w:rPr>
        <w:t>________________ динара</w:t>
      </w:r>
      <w:r>
        <w:rPr>
          <w:color w:val="000000"/>
          <w:sz w:val="24"/>
          <w:szCs w:val="24"/>
        </w:rPr>
        <w:t xml:space="preserve"> које је требало одбити јер не представљају приход и на њих не могу порез или доприносе да плати</w:t>
      </w:r>
      <w:r>
        <w:rPr>
          <w:color w:val="000000"/>
          <w:sz w:val="24"/>
          <w:szCs w:val="24"/>
        </w:rPr>
        <w:t>м.</w:t>
      </w:r>
    </w:p>
    <w:p w14:paraId="0000002E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  <w:highlight w:val="yellow"/>
        </w:rPr>
        <w:t>Докази:</w:t>
      </w:r>
      <w:r>
        <w:rPr>
          <w:i/>
          <w:color w:val="000000"/>
          <w:sz w:val="24"/>
          <w:szCs w:val="24"/>
          <w:highlight w:val="yellow"/>
        </w:rPr>
        <w:tab/>
        <w:t>-</w:t>
      </w:r>
      <w:r>
        <w:rPr>
          <w:color w:val="000000"/>
          <w:sz w:val="24"/>
          <w:szCs w:val="24"/>
          <w:highlight w:val="yellow"/>
        </w:rPr>
        <w:t xml:space="preserve"> _____________________________</w:t>
      </w:r>
    </w:p>
    <w:p w14:paraId="0000002F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30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31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</w:t>
      </w:r>
      <w:r>
        <w:rPr>
          <w:color w:val="000000"/>
          <w:sz w:val="24"/>
          <w:szCs w:val="24"/>
        </w:rPr>
        <w:tab/>
        <w:t xml:space="preserve">Порески обвезник истиче да је наступила застарелост за утврђивање и наплату пореза и споредних пореских давања из члана 114. Закона  о пореском поступку и пореској администрацији, будући да је протекло више </w:t>
      </w:r>
      <w:r>
        <w:rPr>
          <w:color w:val="000000"/>
          <w:sz w:val="24"/>
          <w:szCs w:val="24"/>
        </w:rPr>
        <w:t>од пет година од тренутка када је требало утврдити порез, односно споредно пореско давање.</w:t>
      </w:r>
    </w:p>
    <w:p w14:paraId="00000032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Наиме, ради се о приходима из 2017. године, те је истеком 2022. године наступила застарелост. Околност што је побијано Привремено решење наводно донето </w:t>
      </w:r>
      <w:r>
        <w:rPr>
          <w:color w:val="000000"/>
          <w:sz w:val="24"/>
          <w:szCs w:val="24"/>
          <w:highlight w:val="yellow"/>
        </w:rPr>
        <w:t>__.__.202</w:t>
      </w: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године је без правног значаја, будући да је исто очигледно антидатирано (посебно у доба интернет комуникација, е поштанског сандучета, е пореске управе, имејлова, телефакса, по куриру, телефона и слично, па чак и прописа који дозвољавају доставу пореских р</w:t>
      </w:r>
      <w:r>
        <w:rPr>
          <w:color w:val="000000"/>
          <w:sz w:val="24"/>
          <w:szCs w:val="24"/>
        </w:rPr>
        <w:t xml:space="preserve">ешења на било који начин) и будући да је исто достављено тек у </w:t>
      </w:r>
      <w:r>
        <w:rPr>
          <w:color w:val="000000"/>
          <w:sz w:val="24"/>
          <w:szCs w:val="24"/>
          <w:highlight w:val="yellow"/>
        </w:rPr>
        <w:t>___________ 2023.</w:t>
      </w:r>
      <w:r>
        <w:rPr>
          <w:color w:val="000000"/>
          <w:sz w:val="24"/>
          <w:szCs w:val="24"/>
        </w:rPr>
        <w:t xml:space="preserve"> године, дакле након и истеком рока од пет година. Не може се сматрати антидатиран датум наводног доношења побијаног Привременог решења, у смислу члана 114д. Закона о пореском </w:t>
      </w:r>
      <w:r>
        <w:rPr>
          <w:color w:val="000000"/>
          <w:sz w:val="24"/>
          <w:szCs w:val="24"/>
        </w:rPr>
        <w:t>поступку и пореској администрацији, као предузета радња против пореског дужника, јер му исто није достављено у року од пет година.</w:t>
      </w:r>
    </w:p>
    <w:p w14:paraId="00000033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34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Порески обвезник истиче да чак ни тако неуредно, антидатирано и очигледно неблаговремено решење није законито будући да се у цитираној одредби члана 5. Закона о изменама и допунама Закона о порезу на доходак грађана налази разлог незаконитости истог.</w:t>
      </w:r>
    </w:p>
    <w:p w14:paraId="00000035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Наве</w:t>
      </w:r>
      <w:r>
        <w:rPr>
          <w:color w:val="000000"/>
          <w:sz w:val="24"/>
          <w:szCs w:val="24"/>
        </w:rPr>
        <w:t>деном одредбом прописано је да Пореска управа решењем утврђује порез на приходе не које се порез плаћа самоопорезивањем уколико није, између осталог, правоснажно окончан поступак утврђивања пореске обавезе.</w:t>
      </w:r>
    </w:p>
    <w:p w14:paraId="00000036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Порески обвезник овом приликом доставља за Порес</w:t>
      </w:r>
      <w:r>
        <w:rPr>
          <w:color w:val="000000"/>
          <w:sz w:val="24"/>
          <w:szCs w:val="24"/>
        </w:rPr>
        <w:t xml:space="preserve">ку управу Решење Министарства финансија, </w:t>
      </w:r>
      <w:r>
        <w:rPr>
          <w:color w:val="000000"/>
          <w:sz w:val="24"/>
          <w:szCs w:val="24"/>
          <w:highlight w:val="yellow"/>
        </w:rPr>
        <w:t>Пореске управе, Филијале __________ број ___-___-__-___/201____ oд __.__.20__. године и Решење __________________________</w:t>
      </w:r>
      <w:r>
        <w:rPr>
          <w:color w:val="000000"/>
          <w:sz w:val="24"/>
          <w:szCs w:val="24"/>
        </w:rPr>
        <w:t xml:space="preserve"> којим су утврђене </w:t>
      </w:r>
      <w:r>
        <w:rPr>
          <w:b/>
          <w:color w:val="000000"/>
          <w:sz w:val="24"/>
          <w:szCs w:val="24"/>
        </w:rPr>
        <w:t xml:space="preserve">коначне обавезе </w:t>
      </w:r>
      <w:r>
        <w:rPr>
          <w:color w:val="000000"/>
          <w:sz w:val="24"/>
          <w:szCs w:val="24"/>
        </w:rPr>
        <w:t>пореског обвезника како за порезе тако и за доприносе</w:t>
      </w:r>
      <w:r>
        <w:rPr>
          <w:b/>
          <w:color w:val="000000"/>
          <w:sz w:val="24"/>
          <w:szCs w:val="24"/>
        </w:rPr>
        <w:t>.</w:t>
      </w:r>
    </w:p>
    <w:p w14:paraId="00000037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о иста нису била предмет жалбе у управном поступку, нити предмет тужбе у управном спору иста су постала </w:t>
      </w:r>
      <w:r>
        <w:rPr>
          <w:b/>
          <w:color w:val="000000"/>
          <w:sz w:val="24"/>
          <w:szCs w:val="24"/>
        </w:rPr>
        <w:t>правоснажна, и којима је правоснажно окончан поступак утврђивања пореске обавезе.</w:t>
      </w:r>
    </w:p>
    <w:p w14:paraId="00000038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Докази:</w:t>
      </w:r>
      <w:r>
        <w:rPr>
          <w:i/>
          <w:color w:val="000000"/>
          <w:sz w:val="24"/>
          <w:szCs w:val="24"/>
        </w:rPr>
        <w:tab/>
        <w:t>- Решења.</w:t>
      </w:r>
    </w:p>
    <w:p w14:paraId="00000039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3A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Порески обвезник овом приликом истиче још неколико веома важних чињеница које Пореска управа намерно заборавља да наведе а које опет указују на потпуну незаконитост побијаног Привременог решења.</w:t>
      </w:r>
    </w:p>
    <w:p w14:paraId="0000003B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3C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Наиме, било каква врста прихода из било које стране земље </w:t>
      </w:r>
      <w:r>
        <w:rPr>
          <w:color w:val="000000"/>
          <w:sz w:val="24"/>
          <w:szCs w:val="24"/>
        </w:rPr>
        <w:t>је већ опорезована у тој страној земљи, односно у земљи у којој је услуга и остварена, ако је и било услуга, док било какво друго опорезивање представља двоструко опорезивање што је недозвољено.</w:t>
      </w:r>
    </w:p>
    <w:p w14:paraId="0000003D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Даље, оваква врста опорезивања је ретроактивно прописана и к</w:t>
      </w:r>
      <w:r>
        <w:rPr>
          <w:color w:val="000000"/>
          <w:sz w:val="24"/>
          <w:szCs w:val="24"/>
        </w:rPr>
        <w:t>ао таква незаконита.</w:t>
      </w:r>
    </w:p>
    <w:p w14:paraId="0000003E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Порески обвезник се на десетине пута обраћао Пореској управи, филијали </w:t>
      </w:r>
      <w:r>
        <w:rPr>
          <w:color w:val="000000"/>
          <w:sz w:val="24"/>
          <w:szCs w:val="24"/>
          <w:highlight w:val="yellow"/>
        </w:rPr>
        <w:t>___________</w:t>
      </w:r>
      <w:r>
        <w:rPr>
          <w:color w:val="000000"/>
          <w:sz w:val="24"/>
          <w:szCs w:val="24"/>
        </w:rPr>
        <w:t xml:space="preserve"> и то службеници </w:t>
      </w:r>
      <w:r>
        <w:rPr>
          <w:color w:val="000000"/>
          <w:sz w:val="24"/>
          <w:szCs w:val="24"/>
          <w:highlight w:val="yellow"/>
        </w:rPr>
        <w:t>__________</w:t>
      </w:r>
      <w:r>
        <w:rPr>
          <w:color w:val="000000"/>
          <w:sz w:val="24"/>
          <w:szCs w:val="24"/>
        </w:rPr>
        <w:t xml:space="preserve"> чије презиме и адресу зaхтевам да ми пореска управа достави и чије саслушање као сведока предлажем у овом поступку, а која м</w:t>
      </w:r>
      <w:r>
        <w:rPr>
          <w:color w:val="000000"/>
          <w:sz w:val="24"/>
          <w:szCs w:val="24"/>
        </w:rPr>
        <w:t>у је сваки пут говорила 2016, 2017, 2018. године и даље, да доносим само изводе са динарских рачуна, док „са девизнима не знају како да поступају нити имају пелцере и законски оквир за та примања“, те је потпуно незаконито да се ретроактивно после шест год</w:t>
      </w:r>
      <w:r>
        <w:rPr>
          <w:color w:val="000000"/>
          <w:sz w:val="24"/>
          <w:szCs w:val="24"/>
        </w:rPr>
        <w:t>ина било коме нешто утврђује као приход и присиљава да то плати.</w:t>
      </w:r>
    </w:p>
    <w:p w14:paraId="0000003F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>Притом, веома је битно напоменути да Пореска управа уопште нема обзира да се порески обвезници налазе у једној финансијској, односно било којој другој ситуацији у тренутку-приликом пријема новца, него шест година након.</w:t>
      </w:r>
    </w:p>
    <w:p w14:paraId="00000040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41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Такође, порески обвезник не може д</w:t>
      </w:r>
      <w:r>
        <w:rPr>
          <w:color w:val="000000"/>
          <w:sz w:val="24"/>
          <w:szCs w:val="24"/>
        </w:rPr>
        <w:t>а не примети да се позив на број потпуно разлику од оног позива на број по којем исти већ плаћа своју обавезу као самостални уметник (и за порезе и за доприносе), те изражава сумњу да ова захтевана новчана средства из побијаног Привременог решења неће пове</w:t>
      </w:r>
      <w:r>
        <w:rPr>
          <w:color w:val="000000"/>
          <w:sz w:val="24"/>
          <w:szCs w:val="24"/>
        </w:rPr>
        <w:t>ћати његову будућу неизвесну пензију јер што би се једно физичко лице водило по два позива на број, који посебно за овај број који не садржи наведен његов матични број.</w:t>
      </w:r>
    </w:p>
    <w:p w14:paraId="00000042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43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Порески обвезник као последње, али не мање важно, напомиње да једно физичко лице не м</w:t>
      </w:r>
      <w:r>
        <w:rPr>
          <w:color w:val="000000"/>
          <w:sz w:val="24"/>
          <w:szCs w:val="24"/>
        </w:rPr>
        <w:t>оже бити у два пореско-правно-радна статуса, што указује на поновну незаконитост. Или је самостални уметник па паушално плаћа порез и доприносе или је запослено лице које плаћа порез и доприносе или је нешто треће, четврто или пето, али свакако није од све</w:t>
      </w:r>
      <w:r>
        <w:rPr>
          <w:color w:val="000000"/>
          <w:sz w:val="24"/>
          <w:szCs w:val="24"/>
        </w:rPr>
        <w:t xml:space="preserve">га по мало, па шта Пореској управи више одговара како да се наплати она тумачи па додаје или одузима. </w:t>
      </w:r>
    </w:p>
    <w:p w14:paraId="00000044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45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Имајући у виду све наведено, поштујући правни поредак Републике Србије и прописе Европске заједнице предлажемо да првостепени порески орган измени п</w:t>
      </w:r>
      <w:r>
        <w:rPr>
          <w:color w:val="000000"/>
          <w:sz w:val="24"/>
          <w:szCs w:val="24"/>
        </w:rPr>
        <w:t>обијано решење, а уколико то не учини, предлажемо да без одлагања исто проследи како би другостепени орган исто поништио и предмет врати првостепеном органу на поновни поступак или како би првостепено решење сам изменио сходно члану 150. став 3. Тачка 3. З</w:t>
      </w:r>
      <w:r>
        <w:rPr>
          <w:color w:val="000000"/>
          <w:sz w:val="24"/>
          <w:szCs w:val="24"/>
        </w:rPr>
        <w:t>акона о пореском поступку и пореској администрацији.</w:t>
      </w:r>
    </w:p>
    <w:p w14:paraId="00000046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Порески обвезник указује да су многе незаконитости овде учињене а све укупно чине повреду права на правично суђење и повреду права на имовину због чега се сигурно неће зауставити са свим правним средств</w:t>
      </w:r>
      <w:r>
        <w:rPr>
          <w:color w:val="000000"/>
          <w:sz w:val="24"/>
          <w:szCs w:val="24"/>
        </w:rPr>
        <w:t>има како пред Управним судом тако и пред Уставним судом па и пред Судом за људска права у Стразбуру уколико за то буде било потребе.</w:t>
      </w:r>
    </w:p>
    <w:p w14:paraId="00000047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48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49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Београд </w:t>
      </w:r>
      <w:r>
        <w:rPr>
          <w:color w:val="000000"/>
          <w:sz w:val="24"/>
          <w:szCs w:val="24"/>
          <w:highlight w:val="yellow"/>
        </w:rPr>
        <w:t>__.__</w:t>
      </w:r>
      <w:r>
        <w:rPr>
          <w:color w:val="000000"/>
          <w:sz w:val="24"/>
          <w:szCs w:val="24"/>
        </w:rPr>
        <w:t>.2023. године</w:t>
      </w:r>
    </w:p>
    <w:p w14:paraId="0000004A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14:paraId="0000004B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Порески обвезник</w:t>
      </w:r>
    </w:p>
    <w:p w14:paraId="0000004C" w14:textId="77777777" w:rsidR="00175F96" w:rsidRDefault="00175F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14:paraId="0000004D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14:paraId="0000004E" w14:textId="77777777" w:rsidR="00175F96" w:rsidRDefault="00D97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highlight w:val="yellow"/>
        </w:rPr>
        <w:t>_______________</w:t>
      </w:r>
    </w:p>
    <w:p w14:paraId="0000004F" w14:textId="77777777" w:rsidR="00175F96" w:rsidRDefault="00175F96"/>
    <w:sectPr w:rsidR="00175F96">
      <w:pgSz w:w="11906" w:h="16838"/>
      <w:pgMar w:top="1080" w:right="1440" w:bottom="1260" w:left="144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96"/>
    <w:rsid w:val="00175F96"/>
    <w:rsid w:val="00D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A583D-57EF-49D2-B42C-E71F6BCA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Windows User</cp:lastModifiedBy>
  <cp:revision>2</cp:revision>
  <dcterms:created xsi:type="dcterms:W3CDTF">2023-01-20T18:28:00Z</dcterms:created>
  <dcterms:modified xsi:type="dcterms:W3CDTF">2023-01-20T18:28:00Z</dcterms:modified>
</cp:coreProperties>
</file>