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8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934085" cy="62865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272" w:right="1101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PRIJAVNI LIST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IZLOŽBU VAJARA I VAJARKI SRBIJE - SKULPTURA 23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MAKSIMALAN BROJ PRIJAVLJENIH RADOVA JE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PODACI O UMETNIKU: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126.0" w:type="dxa"/>
        <w:tblLayout w:type="fixed"/>
        <w:tblLook w:val="0000"/>
      </w:tblPr>
      <w:tblGrid>
        <w:gridCol w:w="2567"/>
        <w:gridCol w:w="6541"/>
        <w:tblGridChange w:id="0">
          <w:tblGrid>
            <w:gridCol w:w="2567"/>
            <w:gridCol w:w="6541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Ime:</w:t>
            </w:r>
          </w:p>
        </w:tc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Prezime: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Država: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Telefon: 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Web adresa:</w:t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hd w:fill="f2f2f2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Član ULUS-a: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f2f2f2" w:val="clear"/>
          <w:vertAlign w:val="baseline"/>
          <w:rtl w:val="0"/>
        </w:rPr>
        <w:t xml:space="preserve">a) da    b) ne  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obrisati višak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hd w:fill="f2f2f2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Ukoliko ste član ULUS-a, da li ste izmirili sve članarine zaključno sa tekućom godinom (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vertAlign w:val="baseline"/>
          <w:rtl w:val="0"/>
        </w:rPr>
        <w:t xml:space="preserve">ukoliko niste član ULUS-a preskočite ovo pitanje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f2f2f2" w:val="clear"/>
          <w:vertAlign w:val="baseline"/>
          <w:rtl w:val="0"/>
        </w:rPr>
        <w:t xml:space="preserve">a) da    b) ne  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obrisati višak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hd w:fill="f2f2f2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Ukoliko niste član ULUS-a ili ste član koji neredovno izmiruje članarine prema ULUS-u, da li ste izvršili uplatu kotizacije za učešće na ovoj izložbi (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vertAlign w:val="baseline"/>
          <w:rtl w:val="0"/>
        </w:rPr>
        <w:t xml:space="preserve">podaci za uplatu nalaze se dole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f2f2f2" w:val="clear"/>
          <w:vertAlign w:val="baseline"/>
          <w:rtl w:val="0"/>
        </w:rPr>
        <w:t xml:space="preserve">a) da    b) ne  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obrisati višak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KRATKA UMETNIČKA BIOGRAFIJA (do 250 reči):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1.0" w:type="dxa"/>
        <w:jc w:val="left"/>
        <w:tblLayout w:type="fixed"/>
        <w:tblLook w:val="0000"/>
      </w:tblPr>
      <w:tblGrid>
        <w:gridCol w:w="9431"/>
        <w:tblGridChange w:id="0">
          <w:tblGrid>
            <w:gridCol w:w="9431"/>
          </w:tblGrid>
        </w:tblGridChange>
      </w:tblGrid>
      <w:tr>
        <w:trPr>
          <w:cantSplit w:val="0"/>
          <w:trHeight w:val="3747" w:hRule="atLeast"/>
          <w:tblHeader w:val="0"/>
        </w:trP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  <w:sectPr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PODACI O RADOVIMA: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4.0" w:type="dxa"/>
        <w:jc w:val="left"/>
        <w:tblInd w:w="-90.0" w:type="dxa"/>
        <w:tblLayout w:type="fixed"/>
        <w:tblLook w:val="0000"/>
      </w:tblPr>
      <w:tblGrid>
        <w:gridCol w:w="3407"/>
        <w:gridCol w:w="5917"/>
        <w:tblGridChange w:id="0">
          <w:tblGrid>
            <w:gridCol w:w="3407"/>
            <w:gridCol w:w="5917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vertAlign w:val="baseline"/>
                <w:rtl w:val="0"/>
              </w:rPr>
              <w:t xml:space="preserve">Naziv rada:</w:t>
            </w:r>
          </w:p>
        </w:tc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Quattrocento Sans" w:cs="Quattrocento Sans" w:eastAsia="Quattrocento Sans" w:hAnsi="Quattrocento Sans"/>
                <w:color w:val="00000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vertAlign w:val="baseline"/>
                <w:rtl w:val="0"/>
              </w:rPr>
              <w:t xml:space="preserve">Tehnika: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vertAlign w:val="baseline"/>
                <w:rtl w:val="0"/>
              </w:rPr>
              <w:t xml:space="preserve">Dimenzije: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vertAlign w:val="baseline"/>
                <w:rtl w:val="0"/>
              </w:rPr>
              <w:t xml:space="preserve">Godina (period) nastanka: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14.0" w:type="dxa"/>
              <w:jc w:val="left"/>
              <w:tblInd w:w="90.0" w:type="dxa"/>
              <w:tblLayout w:type="fixed"/>
              <w:tblLook w:val="0000"/>
            </w:tblPr>
            <w:tblGrid>
              <w:gridCol w:w="90"/>
              <w:gridCol w:w="3317"/>
              <w:gridCol w:w="90"/>
              <w:gridCol w:w="5827"/>
              <w:gridCol w:w="90"/>
              <w:tblGridChange w:id="0">
                <w:tblGrid>
                  <w:gridCol w:w="90"/>
                  <w:gridCol w:w="3317"/>
                  <w:gridCol w:w="90"/>
                  <w:gridCol w:w="5827"/>
                  <w:gridCol w:w="90"/>
                </w:tblGrid>
              </w:tblGridChange>
            </w:tblGrid>
            <w:tr>
              <w:trPr>
                <w:cantSplit w:val="0"/>
                <w:trHeight w:val="601" w:hRule="atLeast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vertAlign w:val="baseline"/>
                      <w:rtl w:val="0"/>
                    </w:rPr>
                    <w:t xml:space="preserve">Naziv rada:</w:t>
                  </w:r>
                </w:p>
              </w:tc>
              <w:tc>
                <w:tcPr>
                  <w:gridSpan w:val="2"/>
                  <w:shd w:fill="eeeeee" w:val="clear"/>
                  <w:vAlign w:val="top"/>
                </w:tcPr>
                <w:p w:rsidR="00000000" w:rsidDel="00000000" w:rsidP="00000000" w:rsidRDefault="00000000" w:rsidRPr="00000000" w14:paraId="0000004A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01" w:hRule="atLeast"/>
                <w:tblHeader w:val="0"/>
              </w:trPr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  <w:rtl w:val="0"/>
                    </w:rPr>
                    <w:t xml:space="preserve">Tehnika:</w:t>
                  </w:r>
                </w:p>
                <w:p w:rsidR="00000000" w:rsidDel="00000000" w:rsidP="00000000" w:rsidRDefault="00000000" w:rsidRPr="00000000" w14:paraId="0000004D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  <w:rtl w:val="0"/>
                    </w:rPr>
                    <w:t xml:space="preserve">Dimenzije: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1f1f1" w:val="clear"/>
                  <w:vAlign w:val="top"/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gridSpan w:val="3"/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vertAlign w:val="baseline"/>
                      <w:rtl w:val="0"/>
                    </w:rPr>
                    <w:t xml:space="preserve">Godina (period) nastanka: 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1f1f1" w:val="clear"/>
                  <w:vAlign w:val="top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01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vertAlign w:val="baseline"/>
                      <w:rtl w:val="0"/>
                    </w:rPr>
                    <w:t xml:space="preserve">Naziv rada:</w:t>
                  </w:r>
                </w:p>
              </w:tc>
              <w:tc>
                <w:tcPr>
                  <w:gridSpan w:val="3"/>
                  <w:shd w:fill="eeeeee" w:val="clear"/>
                  <w:vAlign w:val="top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01" w:hRule="atLeast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  <w:rtl w:val="0"/>
                    </w:rPr>
                    <w:t xml:space="preserve">Tehnika:</w:t>
                  </w:r>
                </w:p>
                <w:p w:rsidR="00000000" w:rsidDel="00000000" w:rsidP="00000000" w:rsidRDefault="00000000" w:rsidRPr="00000000" w14:paraId="0000005E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color w:val="000000"/>
                      <w:vertAlign w:val="baseline"/>
                      <w:rtl w:val="0"/>
                    </w:rPr>
                    <w:t xml:space="preserve">Dimenzije: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1f1f1" w:val="clear"/>
                  <w:vAlign w:val="top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gridSpan w:val="2"/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vertAlign w:val="baseline"/>
                      <w:rtl w:val="0"/>
                    </w:rPr>
                    <w:t xml:space="preserve">Godina (period) nastanka: </w:t>
                  </w:r>
                </w:p>
                <w:p w:rsidR="00000000" w:rsidDel="00000000" w:rsidP="00000000" w:rsidRDefault="00000000" w:rsidRPr="00000000" w14:paraId="00000064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1f1f1" w:val="clear"/>
                  <w:vAlign w:val="top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rPr>
                      <w:rFonts w:ascii="Quattrocento Sans" w:cs="Quattrocento Sans" w:eastAsia="Quattrocento Sans" w:hAnsi="Quattrocento Sans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Kratak opis - koncept rada ili radova (do 250 reči):</w:t>
      </w: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before="11" w:lineRule="auto"/>
        <w:rPr>
          <w:rFonts w:ascii="Quattrocento Sans" w:cs="Quattrocento Sans" w:eastAsia="Quattrocento Sans" w:hAnsi="Quattrocento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Napomena u vezi tehničkih potreba za prezentaciju (specifičan način instalacije rada, prostorni zahtevi, tehnička oprema, tehnička podrška...)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(opcionalno)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9642.0" w:type="dxa"/>
        <w:jc w:val="left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2835" w:hRule="atLeast"/>
          <w:tblHeader w:val="0"/>
        </w:trPr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before="9" w:lineRule="auto"/>
        <w:rPr>
          <w:rFonts w:ascii="Quattrocento Sans" w:cs="Quattrocento Sans" w:eastAsia="Quattrocento Sans" w:hAnsi="Quattrocento San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Spisak dokumenata koje je potrebno priložiti uz prijavni list: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- vizuelni prikaz rada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– Za svaki prijavljeni rad potrebno je priložiti najmanje jednu fotografiju ne manju od 25x35cm, 300 dpi rezolucija, RGB kolor režim. U slučaju video ili procesualnog rada dostavlja se link za pregled (Vimeo, Youtube…). U slučaju izvedbe novog rada dostavljaju se tekstualni opis rada, skice ili slično.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Napomena: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članove koji imaju izmirenu članarinu za tekuću godinu učešće je besplatno. Oni članovi koji nemaju izmirenu članarinu, ali žele da učestvuju na ovoj izložbi, kao i umetnici koji nisu članovi ULUS-a potrebno je da uplate kotizaciju za materijalne troškove produkcije izložbe u iznosu od 2.000 RSD, dok je za inostrane umetnike taj iznos 30 EUR.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Uplata u zemlji se vrši prema sledećim instrukcijama: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Primalac: Udruženje likovnih umetnika Srbije, Mali Kalemegdan br. 1. Beograd Svrha plaćanja: Materijalni troškovi za produkciju Prolećne izložbe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Račun broj: 325-9500600026388-38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Uplata iz inostranstva se vrši prema sledećim instrukcijama: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Intermediary: OTP BANK PLC., BUDAPEST, SWIFT CODE: OTPVHUHB, Account with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institution: VOJVOĐANSKA BANKA A.D., SWIFT CODE: OTPVRS22, Beneficiary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Customer: /RS35325960160000399767, UDRUŽENJE LIKOVNIH UMETNIKA SRBIJE,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MALI KALEMEGDAN 1, Beograd (Stari Grad), SERBIA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Ili PayPal-om na adresu: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izvodi.ulus@gmail.com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Potvrdu o izmirenim članarinama za tekuću godinu za članove ULUS-a odnosno potvrdu o uplati kotizacije za izložbu nije potrebno dostavljati na konkurs ali je dokaz o uplati kotizacije ili potvrdu o izmirenosti članarine potrebno imati kod sebe u slučaju za organizator iste zatraži na uvid.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Politika privatnosti: 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ULUS neće koristiti podatke sa ovog prijavnog lista na način koji bi mogao narušavati privatnost aplikanata. Podaci neće biti dati na uvid trećim licima i organizacijama bez prethodne pismene saglasnosti aplikanta i neće biti korišćeni izvan potrebe realizacije izložbe. ULUS ima pravo da objavljuje samo one podatke koji su neophodni za objavljivanje kataloga izložbe i potrebe promocije pogramskih aktivnosti.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Napomena: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Svojim potpisom učesnik konkursa potvrđuje da prihvata uslove opisane u konkursu i Prijavnom listu.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Popunjenim i potpisanim Prijavnim listom autor daje saglasnost za korišćenje svog rada u svrhu promocije izložbe i programa ULUS-a, kako u štampanim izdanjima (katalog, flajer, poster, hand out itd), tako i na društvenim mrežama i u ostalim promotivnim formatima.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Selektori zadržavaju pravo da u slučaju nejasnoća kontaktiraju predlagača rada i zatraže dopunsku dokumentaciju. Organizator zadržava pravo da umetnike koji blagovremeno ne dostave tražene materijale ukloni sa spiska izlagača. Nepotpune, neblagovremene ili prijave koje ne odgovaraju propozicijama konkursa neće biti razmatrane.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Transport radova i troškove carinjenja (za prijave izvan Srbije) snosi umetnik. ULUS će izdati neophodnu dokumentaciju kako bi se potvrdila svrha uvoza autorovog dela.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ULUS snosi odgovornost za oštećenja ili nestanak radova od dana primanja u posed do dana kada ih preda u izvoznu carinsku proceduru, odnosno do momenta kada umetnik lično preuzme radove.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ULUS ne snosi odgovornost za oštećenja ili nestanak radova u slučaju više sile (elementarna nepogoda, nepredvidive teške okolnosti i sl.).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eventualna oštećenja ili nestanak radova koji nisu preuzeti do zadnjeg datuma za preuzimanje, ULUS neće snositi nikakvu odgovornost. ULUS može radove koji ne budu preuzeti i posle 1 meseca od završetka izložbe prodati ili dodeliti za humanitarne svrhe, shodno Pravilniku o napuštenim delima ULUS-a.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 za preuzimanje radova je 2 dana od dana završetka izložbe. Za radove koji nisu preuzeti u ovom roku, ULUS će naplaćivati ležarinu.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613.0" w:type="dxa"/>
        <w:jc w:val="left"/>
        <w:tblLayout w:type="fixed"/>
        <w:tblLook w:val="0000"/>
      </w:tblPr>
      <w:tblGrid>
        <w:gridCol w:w="1486"/>
        <w:gridCol w:w="3127"/>
        <w:tblGridChange w:id="0">
          <w:tblGrid>
            <w:gridCol w:w="1486"/>
            <w:gridCol w:w="3127"/>
          </w:tblGrid>
        </w:tblGridChange>
      </w:tblGrid>
      <w:tr>
        <w:trPr>
          <w:cantSplit w:val="0"/>
          <w:trHeight w:val="111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Style w:val="Heading3"/>
              <w:numPr>
                <w:ilvl w:val="2"/>
                <w:numId w:val="1"/>
              </w:numPr>
              <w:ind w:left="720" w:hanging="720"/>
              <w:rPr>
                <w:rFonts w:ascii="Quattrocento Sans" w:cs="Quattrocento Sans" w:eastAsia="Quattrocento Sans" w:hAnsi="Quattrocento San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22"/>
                <w:szCs w:val="22"/>
                <w:vertAlign w:val="baseline"/>
                <w:rtl w:val="0"/>
              </w:rPr>
              <w:t xml:space="preserve">Datum i </w:t>
            </w:r>
          </w:p>
          <w:p w:rsidR="00000000" w:rsidDel="00000000" w:rsidP="00000000" w:rsidRDefault="00000000" w:rsidRPr="00000000" w14:paraId="0000009C">
            <w:pPr>
              <w:pStyle w:val="Heading3"/>
              <w:numPr>
                <w:ilvl w:val="2"/>
                <w:numId w:val="1"/>
              </w:numPr>
              <w:ind w:left="720" w:hanging="720"/>
              <w:rPr>
                <w:rFonts w:ascii="Quattrocento Sans" w:cs="Quattrocento Sans" w:eastAsia="Quattrocento Sans" w:hAnsi="Quattrocento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22"/>
                <w:szCs w:val="22"/>
                <w:vertAlign w:val="baseline"/>
                <w:rtl w:val="0"/>
              </w:rPr>
              <w:t xml:space="preserve">mesto: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199.0" w:type="dxa"/>
        <w:jc w:val="left"/>
        <w:tblLayout w:type="fixed"/>
        <w:tblLook w:val="0000"/>
      </w:tblPr>
      <w:tblGrid>
        <w:gridCol w:w="1814"/>
        <w:gridCol w:w="3385"/>
        <w:tblGridChange w:id="0">
          <w:tblGrid>
            <w:gridCol w:w="1814"/>
            <w:gridCol w:w="3385"/>
          </w:tblGrid>
        </w:tblGridChange>
      </w:tblGrid>
      <w:tr>
        <w:trPr>
          <w:cantSplit w:val="0"/>
          <w:trHeight w:val="8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pStyle w:val="Heading3"/>
              <w:numPr>
                <w:ilvl w:val="2"/>
                <w:numId w:val="1"/>
              </w:numPr>
              <w:ind w:left="720" w:hanging="720"/>
              <w:rPr>
                <w:rFonts w:ascii="Quattrocento Sans" w:cs="Quattrocento Sans" w:eastAsia="Quattrocento Sans" w:hAnsi="Quattrocento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22"/>
                <w:szCs w:val="22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Style w:val="Heading3"/>
              <w:numPr>
                <w:ilvl w:val="2"/>
                <w:numId w:val="1"/>
              </w:numPr>
              <w:ind w:left="720" w:hanging="720"/>
              <w:rPr>
                <w:rFonts w:ascii="Quattrocento Sans" w:cs="Quattrocento Sans" w:eastAsia="Quattrocento Sans" w:hAnsi="Quattrocento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sz w:val="22"/>
                <w:szCs w:val="22"/>
                <w:vertAlign w:val="baseline"/>
                <w:rtl w:val="0"/>
              </w:rPr>
              <w:t xml:space="preserve">Potpis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eee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  <w:font w:name="Ebrim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6" w:right="4200" w:firstLine="0"/>
    </w:pPr>
    <w:rPr>
      <w:rFonts w:ascii="Verdana" w:cs="Verdana" w:eastAsia="Verdana" w:hAnsi="Verdana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ind w:left="126" w:right="0" w:firstLine="0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Arial Black" w:eastAsia="Arial Black" w:hAnsi="Arial Black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Heading1">
    <w:name w:val="Heading 1"/>
    <w:basedOn w:val="Normal"/>
    <w:next w:val="BodyText"/>
    <w:autoRedefine w:val="0"/>
    <w:hidden w:val="0"/>
    <w:qFormat w:val="0"/>
    <w:pPr>
      <w:numPr>
        <w:ilvl w:val="0"/>
        <w:numId w:val="1"/>
      </w:numPr>
      <w:suppressAutoHyphens w:val="0"/>
      <w:spacing w:line="100" w:lineRule="atLeast"/>
      <w:ind w:left="126" w:right="4200" w:leftChars="-1" w:rightChars="0" w:firstLine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Heading2">
    <w:name w:val="Heading 2"/>
    <w:basedOn w:val="Normal"/>
    <w:next w:val="BodyText"/>
    <w:autoRedefine w:val="0"/>
    <w:hidden w:val="0"/>
    <w:qFormat w:val="0"/>
    <w:pPr>
      <w:numPr>
        <w:ilvl w:val="1"/>
        <w:numId w:val="1"/>
      </w:numPr>
      <w:suppressAutoHyphens w:val="0"/>
      <w:spacing w:line="100" w:lineRule="atLeast"/>
      <w:ind w:left="126" w:right="0" w:leftChars="-1" w:rightChars="0" w:firstLine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ar-SA" w:val="hr-HR"/>
    </w:rPr>
  </w:style>
  <w:style w:type="paragraph" w:styleId="Heading3">
    <w:name w:val="Heading 3"/>
    <w:basedOn w:val="Normal"/>
    <w:next w:val="BodyText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Verdana" w:cs="Verdana" w:eastAsia="Verdana" w:hAnsi="Verdana"/>
      <w:w w:val="100"/>
      <w:position w:val="-1"/>
      <w:effect w:val="none"/>
      <w:vertAlign w:val="baseline"/>
      <w:cs w:val="0"/>
      <w:em w:val="none"/>
      <w:lang w:val="hr-HR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val="hr-HR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Mangal" w:eastAsia="Microsoft YaHei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hr-HR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 Black" w:cs="Arial Black" w:eastAsia="Arial Black" w:hAnsi="Arial Black"/>
      <w:w w:val="100"/>
      <w:position w:val="-1"/>
      <w:sz w:val="18"/>
      <w:szCs w:val="18"/>
      <w:effect w:val="none"/>
      <w:vertAlign w:val="baseline"/>
      <w:cs w:val="0"/>
      <w:em w:val="none"/>
      <w:lang w:val="hr-HR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hr-H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Arial Black" w:eastAsia="Arial Black" w:hAnsi="Arial Black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hr-HR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Mangal" w:eastAsia="Arial Black" w:hAnsi="Arial Black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hr-H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Mangal" w:eastAsia="Arial Black" w:hAnsi="Arial Black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hr-H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Mangal" w:eastAsia="Arial Black" w:hAnsi="Arial Black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suppressAutoHyphens w:val="0"/>
      <w:spacing w:line="100" w:lineRule="atLeast"/>
      <w:ind w:left="120" w:right="0" w:leftChars="-1" w:rightChars="0" w:firstLine="0" w:firstLineChars="-1"/>
      <w:textDirection w:val="btLr"/>
      <w:textAlignment w:val="top"/>
      <w:outlineLvl w:val="0"/>
    </w:pPr>
    <w:rPr>
      <w:rFonts w:ascii="Arial Black" w:cs="Arial Black" w:eastAsia="Arial Black" w:hAnsi="Arial Black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 Black" w:cs="Arial Black" w:eastAsia="Arial Black" w:hAnsi="Arial Black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WW-Default">
    <w:name w:val="WW-Default"/>
    <w:next w:val="WW-Default"/>
    <w:autoRedefine w:val="0"/>
    <w:hidden w:val="0"/>
    <w:qFormat w:val="0"/>
    <w:pPr>
      <w:widowControl w:val="0"/>
      <w:suppressAutoHyphens w:val="0"/>
      <w:autoSpaceDE w:val="0"/>
      <w:spacing w:line="100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cs="Arial Black" w:eastAsia="Arial Black" w:hAnsi="Arial Black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r-H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zvodi.ulu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oDVxEnHulpjAaQGqtcfFhlSiw==">CgMxLjA4AHIhMVptREV2Sk9EbmppdzZ0dXpaVmtnQTdDak5KbFJRZFZx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2021-04-27T22:00:00Z</dcterms:created>
  <dc:creator>mpelosk@outlook.com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